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3950</w:t>
      </w:r>
      <w:bookmarkStart w:id="8" w:name="_GoBack"/>
      <w:bookmarkEnd w:id="8"/>
    </w:p>
    <w:p>
      <w:pPr>
        <w:pStyle w:val="129"/>
        <w:outlineLvl w:val="0"/>
        <w:rPr>
          <w:b/>
          <w:bCs/>
          <w:sz w:val="24"/>
        </w:rPr>
      </w:pPr>
      <w:r>
        <w:rPr>
          <w:rFonts w:hint="eastAsia" w:eastAsia="宋体" w:cs="Arial"/>
          <w:b/>
          <w:sz w:val="24"/>
          <w:lang w:val="en-US" w:eastAsia="zh-CN"/>
        </w:rPr>
        <w:t>Goteborg</w:t>
      </w:r>
      <w:r>
        <w:rPr>
          <w:rFonts w:hint="eastAsia" w:cs="Arial"/>
          <w:b/>
          <w:sz w:val="24"/>
        </w:rPr>
        <w:t xml:space="preserve">, </w:t>
      </w:r>
      <w:r>
        <w:rPr>
          <w:rFonts w:hint="eastAsia" w:eastAsia="宋体" w:cs="Arial"/>
          <w:b/>
          <w:sz w:val="24"/>
          <w:lang w:val="en-US" w:eastAsia="zh-CN"/>
        </w:rPr>
        <w:t>Sweden</w:t>
      </w:r>
      <w:r>
        <w:rPr>
          <w:rFonts w:hint="eastAsia" w:cs="Arial"/>
          <w:b/>
          <w:sz w:val="24"/>
        </w:rPr>
        <w:t xml:space="preserve">,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bookmarkStart w:id="1" w:name="OLE_LINK1"/>
            <w:r>
              <w:t xml:space="preserve">Skeleton for </w:t>
            </w:r>
            <w:r>
              <w:rPr>
                <w:rFonts w:hint="eastAsia" w:eastAsia="宋体"/>
                <w:lang w:val="en-US" w:eastAsia="zh-CN"/>
              </w:rPr>
              <w:t>S</w:t>
            </w:r>
            <w:r>
              <w:rPr>
                <w:rFonts w:hint="eastAsia"/>
              </w:rPr>
              <w:t>ecurity aspects of enablers for Network Automation for 5G - phase 3</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 Nokia, Nokia Shanghai Bell, Ericsson, China Telecommunications, Intel,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rPr>
                <w:rFonts w:hint="eastAsia"/>
              </w:rPr>
              <w:t xml:space="preserve">Skeleton for how the work on the </w:t>
            </w:r>
            <w:r>
              <w:rPr>
                <w:rFonts w:hint="eastAsia" w:eastAsia="宋体"/>
                <w:lang w:val="en-US" w:eastAsia="zh-CN"/>
              </w:rPr>
              <w:t>eNA</w:t>
            </w:r>
            <w:r>
              <w:rPr>
                <w:rFonts w:hint="eastAsia"/>
              </w:rPr>
              <w:t xml:space="preserve"> </w:t>
            </w:r>
            <w:r>
              <w:rPr>
                <w:rFonts w:hint="eastAsia" w:eastAsia="宋体"/>
                <w:lang w:val="en-US" w:eastAsia="zh-CN"/>
              </w:rPr>
              <w:t xml:space="preserve">phase 3 </w:t>
            </w:r>
            <w:r>
              <w:rPr>
                <w:rFonts w:hint="eastAsia"/>
              </w:rPr>
              <w:t>security study can be i</w:t>
            </w:r>
            <w:r>
              <w:rPr>
                <w:rFonts w:hint="eastAsia" w:eastAsia="宋体"/>
                <w:lang w:val="en-US" w:eastAsia="zh-CN"/>
              </w:rPr>
              <w:t>nclude</w:t>
            </w:r>
            <w:r>
              <w:rPr>
                <w:rFonts w:hint="eastAsia"/>
              </w:rPr>
              <w:t>d in TS 33.501.</w:t>
            </w:r>
          </w:p>
          <w:p>
            <w:pPr>
              <w:pStyle w:val="129"/>
              <w:spacing w:after="0"/>
              <w:ind w:left="100"/>
            </w:pPr>
            <w:r>
              <w:t>Change history of the living document:</w:t>
            </w:r>
          </w:p>
          <w:p>
            <w:pPr>
              <w:pStyle w:val="129"/>
              <w:numPr>
                <w:ilvl w:val="0"/>
                <w:numId w:val="5"/>
              </w:numPr>
              <w:spacing w:after="0"/>
            </w:pPr>
            <w:r>
              <w:rPr>
                <w:lang w:eastAsia="zh-CN"/>
              </w:rPr>
              <w:t>S</w:t>
            </w:r>
            <w:r>
              <w:rPr>
                <w:rFonts w:hint="eastAsia"/>
                <w:lang w:eastAsia="zh-CN"/>
              </w:rPr>
              <w:t>3-2</w:t>
            </w:r>
            <w:r>
              <w:rPr>
                <w:rFonts w:hint="eastAsia"/>
                <w:lang w:val="en-US" w:eastAsia="zh-CN"/>
              </w:rPr>
              <w:t>32189</w:t>
            </w:r>
          </w:p>
          <w:p>
            <w:pPr>
              <w:pStyle w:val="129"/>
              <w:numPr>
                <w:ilvl w:val="0"/>
                <w:numId w:val="5"/>
              </w:numPr>
              <w:spacing w:after="0"/>
            </w:pPr>
            <w:r>
              <w:rPr>
                <w:rFonts w:hint="eastAsia"/>
                <w:lang w:val="en-US" w:eastAsia="zh-CN"/>
              </w:rPr>
              <w:t>S3-233266</w:t>
            </w:r>
          </w:p>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Enhanced support of</w:t>
            </w:r>
            <w:r>
              <w:rPr>
                <w:rFonts w:hint="eastAsia"/>
                <w:lang w:eastAsia="zh-CN"/>
              </w:rPr>
              <w:t xml:space="preserve"> eNA</w:t>
            </w:r>
            <w:r>
              <w:t xml:space="preserve"> will not have necessary security aspects specified.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rPr>
              <w:t>S3-233267</w:t>
            </w:r>
            <w:r>
              <w:rPr>
                <w:rFonts w:hint="eastAsia" w:eastAsia="宋体"/>
                <w:lang w:val="en-US" w:eastAsia="zh-CN"/>
              </w:rPr>
              <w:t>, S3-233268, S3-233386</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
      <w:pPr>
        <w:pStyle w:val="11"/>
        <w:rPr>
          <w:lang w:eastAsia="zh-CN"/>
        </w:rPr>
      </w:pPr>
      <w:bookmarkStart w:id="2" w:name="_Toc122101440"/>
      <w:r>
        <w:t xml:space="preserve">Annex </w:t>
      </w:r>
      <w:r>
        <w:rPr>
          <w:rFonts w:hint="eastAsia"/>
        </w:rPr>
        <w:t>X</w:t>
      </w:r>
      <w:r>
        <w:t xml:space="preserve"> (normative):</w:t>
      </w:r>
      <w:r>
        <w:rPr>
          <w:lang w:eastAsia="zh-CN"/>
        </w:rPr>
        <w:br w:type="textWrapping"/>
      </w:r>
      <w:r>
        <w:t>Security aspects of enablers for Network Automation (eNA) for the 5G system (5GS)</w:t>
      </w:r>
      <w:bookmarkEnd w:id="2"/>
    </w:p>
    <w:p>
      <w:pPr>
        <w:pStyle w:val="3"/>
        <w:rPr>
          <w:lang w:eastAsia="zh-CN"/>
        </w:rPr>
      </w:pPr>
      <w:bookmarkStart w:id="3" w:name="_Toc122101441"/>
      <w:r>
        <w:rPr>
          <w:rFonts w:hint="eastAsia"/>
        </w:rPr>
        <w:t>X</w:t>
      </w:r>
      <w:r>
        <w:t>.1</w:t>
      </w:r>
      <w:r>
        <w:tab/>
      </w:r>
      <w:r>
        <w:t>General</w:t>
      </w:r>
      <w:bookmarkEnd w:id="3"/>
    </w:p>
    <w:p>
      <w:pPr>
        <w:rPr>
          <w:rFonts w:eastAsia="宋体"/>
          <w:lang w:eastAsia="zh-CN"/>
        </w:rPr>
      </w:pPr>
      <w:r>
        <w:t>This Annex provides security requirements and procedures for the Network</w:t>
      </w:r>
      <w:r>
        <w:rPr>
          <w:rFonts w:hint="eastAsia" w:eastAsia="宋体"/>
          <w:lang w:eastAsia="zh-CN"/>
        </w:rPr>
        <w:t xml:space="preserve"> </w:t>
      </w:r>
      <w:r>
        <w:rPr>
          <w:rFonts w:eastAsia="宋体"/>
          <w:lang w:eastAsia="zh-CN"/>
        </w:rPr>
        <w:t>Automation features</w:t>
      </w:r>
      <w:r>
        <w:rPr>
          <w:rFonts w:hint="eastAsia" w:eastAsia="宋体"/>
          <w:lang w:eastAsia="zh-CN"/>
        </w:rPr>
        <w:t>.</w:t>
      </w:r>
    </w:p>
    <w:p>
      <w:pPr>
        <w:rPr>
          <w:lang w:eastAsia="zh-CN"/>
        </w:rPr>
      </w:pPr>
      <w:r>
        <w:t xml:space="preserve">The feature for </w:t>
      </w:r>
      <w:r>
        <w:rPr>
          <w:rFonts w:eastAsia="宋体"/>
          <w:lang w:eastAsia="zh-CN"/>
        </w:rPr>
        <w:t>enablers for Network Automation</w:t>
      </w:r>
      <w:r>
        <w:t xml:space="preserve"> by 5GS is described in </w:t>
      </w:r>
      <w:r>
        <w:rPr>
          <w:rFonts w:eastAsia="宋体"/>
          <w:lang w:eastAsia="zh-CN"/>
        </w:rPr>
        <w:t>3GPP TS23.</w:t>
      </w:r>
      <w:r>
        <w:rPr>
          <w:rFonts w:hint="eastAsia" w:eastAsia="宋体"/>
          <w:lang w:eastAsia="zh-CN"/>
        </w:rPr>
        <w:t>501</w:t>
      </w:r>
      <w:r>
        <w:t>[</w:t>
      </w:r>
      <w:r>
        <w:rPr>
          <w:rFonts w:hint="eastAsia" w:eastAsia="宋体"/>
          <w:lang w:eastAsia="zh-CN"/>
        </w:rPr>
        <w:t>2</w:t>
      </w:r>
      <w:r>
        <w:t>]</w:t>
      </w:r>
      <w:r>
        <w:rPr>
          <w:rFonts w:hint="eastAsia" w:eastAsia="宋体"/>
          <w:lang w:eastAsia="zh-CN"/>
        </w:rPr>
        <w:t xml:space="preserve"> and </w:t>
      </w:r>
      <w:r>
        <w:rPr>
          <w:rFonts w:eastAsia="宋体"/>
          <w:lang w:eastAsia="zh-CN"/>
        </w:rPr>
        <w:t>3GPP TS23.288</w:t>
      </w:r>
      <w:r>
        <w:t xml:space="preserve"> [</w:t>
      </w:r>
      <w:r>
        <w:rPr>
          <w:rFonts w:eastAsia="宋体"/>
          <w:lang w:eastAsia="zh-CN"/>
        </w:rPr>
        <w:t>105</w:t>
      </w:r>
      <w:r>
        <w:t>].</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X.2</w:t>
      </w:r>
      <w:r>
        <w:rPr>
          <w:rFonts w:ascii="Arial" w:hAnsi="Arial"/>
          <w:sz w:val="36"/>
        </w:rPr>
        <w:tab/>
      </w:r>
      <w:r>
        <w:rPr>
          <w:rFonts w:ascii="Arial" w:hAnsi="Arial"/>
          <w:sz w:val="36"/>
        </w:rPr>
        <w:t>Authorization of NF Service Consumers for data access via DCCF</w:t>
      </w:r>
    </w:p>
    <w:p>
      <w:pPr>
        <w:rPr>
          <w:lang w:val="en-US"/>
        </w:rPr>
      </w:pPr>
      <w:r>
        <w:rPr>
          <w:lang w:val="en-US"/>
        </w:rPr>
        <w:t>The detailed procedure for NF Service Consumer to receive data from Service Producers via DCCF is depicted in Figure X.2-1:</w:t>
      </w:r>
    </w:p>
    <w:p>
      <w:pPr>
        <w:rPr>
          <w:lang w:val="en-US" w:eastAsia="zh-CN"/>
        </w:rPr>
      </w:pPr>
    </w:p>
    <w:p>
      <w:pPr>
        <w:pStyle w:val="103"/>
        <w:rPr>
          <w:lang w:val="en-US"/>
        </w:rPr>
      </w:pPr>
      <w:r>
        <w:object>
          <v:shape id="_x0000_i1025" o:spt="75" type="#_x0000_t75" style="height:559.2pt;width:51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rPr>
          <w:lang w:val="en-US"/>
        </w:rPr>
      </w:pPr>
      <w:r>
        <w:rPr>
          <w:lang w:val="en-US"/>
        </w:rPr>
        <w:t>Figure X.2-1: NF Service Consumer Authorization to receive data from NF Service Producers via DCCF</w:t>
      </w:r>
    </w:p>
    <w:p>
      <w:pPr>
        <w:pStyle w:val="123"/>
        <w:rPr>
          <w:lang w:val="en-US" w:eastAsia="zh-CN"/>
        </w:rPr>
      </w:pPr>
      <w:r>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pPr>
        <w:pStyle w:val="123"/>
        <w:rPr>
          <w:lang w:val="en-US" w:eastAsia="zh-CN"/>
        </w:rPr>
      </w:pPr>
      <w:r>
        <w:rPr>
          <w:lang w:val="en-US" w:eastAsia="zh-CN"/>
        </w:rPr>
        <w:t>4.</w:t>
      </w:r>
      <w:r>
        <w:rPr>
          <w:lang w:val="en-US" w:eastAsia="zh-CN"/>
        </w:rPr>
        <w:tab/>
      </w:r>
      <w:r>
        <w:rPr>
          <w:lang w:val="en-US" w:eastAsia="zh-CN"/>
        </w:rPr>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pPr>
        <w:pStyle w:val="104"/>
        <w:rPr>
          <w:lang w:val="en-US" w:eastAsia="zh-CN"/>
        </w:rPr>
      </w:pPr>
      <w:r>
        <w:rPr>
          <w:lang w:val="en-US" w:eastAsia="zh-CN"/>
        </w:rPr>
        <w:t>NOTE 0: The procedure of NF Service Consumer (e.g. NWDAF) requesting the services provided by NF Service Producer via DCCF is defined in Clause 6.2.6.3 of TS 23.288 [105].</w:t>
      </w:r>
    </w:p>
    <w:p>
      <w:pPr>
        <w:pStyle w:val="123"/>
        <w:rPr>
          <w:lang w:val="en-US" w:eastAsia="zh-CN"/>
        </w:rPr>
      </w:pPr>
      <w:r>
        <w:rPr>
          <w:lang w:val="en-US" w:eastAsia="zh-CN"/>
        </w:rPr>
        <w:t>5.</w:t>
      </w:r>
      <w:r>
        <w:rPr>
          <w:lang w:val="en-US" w:eastAsia="zh-CN"/>
        </w:rPr>
        <w:tab/>
      </w:r>
      <w:r>
        <w:rPr>
          <w:lang w:val="en-US" w:eastAsia="zh-CN"/>
        </w:rPr>
        <w:t>The DCCF shall verify if the access_token_nwdaf is valid and executes the service.</w:t>
      </w:r>
    </w:p>
    <w:p>
      <w:pPr>
        <w:pStyle w:val="123"/>
        <w:rPr>
          <w:lang w:val="en-US" w:eastAsia="zh-CN"/>
        </w:rPr>
      </w:pPr>
      <w:r>
        <w:rPr>
          <w:lang w:val="en-US" w:eastAsia="zh-CN"/>
        </w:rPr>
        <w:t>6.</w:t>
      </w:r>
      <w:r>
        <w:rPr>
          <w:lang w:val="en-US" w:eastAsia="zh-CN"/>
        </w:rPr>
        <w:tab/>
      </w:r>
      <w:r>
        <w:rPr>
          <w:lang w:val="en-US" w:eastAsia="zh-CN"/>
        </w:rPr>
        <w:t>The DCCF determines the NF Service Producer(s) from where the data is to be collected (as specified in Clause 6.2.6.3.2 in TS 23.288[105]).</w:t>
      </w:r>
    </w:p>
    <w:p>
      <w:pPr>
        <w:pStyle w:val="104"/>
        <w:rPr>
          <w:lang w:val="en-US"/>
        </w:rPr>
      </w:pPr>
      <w:r>
        <w:rPr>
          <w:lang w:val="en-US"/>
        </w:rPr>
        <w:t xml:space="preserve">NOTE 1: </w:t>
      </w:r>
      <w:r>
        <w:rPr>
          <w:lang w:val="en-US"/>
        </w:rPr>
        <w:tab/>
      </w:r>
      <w:r>
        <w:rPr>
          <w:lang w:val="en-US"/>
        </w:rPr>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pPr>
        <w:pStyle w:val="123"/>
        <w:rPr>
          <w:lang w:val="en-US" w:eastAsia="zh-CN"/>
        </w:rPr>
      </w:pPr>
      <w:r>
        <w:rPr>
          <w:lang w:val="en-US" w:eastAsia="zh-CN"/>
        </w:rPr>
        <w:t>7.</w:t>
      </w:r>
      <w:r>
        <w:rPr>
          <w:lang w:val="en-US" w:eastAsia="zh-CN"/>
        </w:rPr>
        <w:tab/>
      </w:r>
      <w:r>
        <w:rPr>
          <w:lang w:val="en-US" w:eastAsia="zh-CN"/>
        </w:rPr>
        <w:t>The DCCF sends a Nnrf_AccessToken_Get request to NRF including the information to identify the target NF (NF Service Producer), the source NF (NF Service Consumer e.g. NWDAF), the NF Instance ID of DCCF and the CCA_NWDAF provided by the NF Service Consumer.</w:t>
      </w:r>
    </w:p>
    <w:p>
      <w:pPr>
        <w:pStyle w:val="123"/>
        <w:rPr>
          <w:lang w:val="en-US" w:eastAsia="zh-CN"/>
        </w:rPr>
      </w:pPr>
      <w:r>
        <w:rPr>
          <w:lang w:val="en-US" w:eastAsia="zh-CN"/>
        </w:rPr>
        <w:t>NOTE 1a: The NF Instance ID of DCCF is included in a different IE than source NF so that Rel-16 NRF will ignore the new IE.</w:t>
      </w:r>
    </w:p>
    <w:p>
      <w:pPr>
        <w:pStyle w:val="123"/>
        <w:rPr>
          <w:lang w:val="en-US" w:eastAsia="zh-CN"/>
        </w:rPr>
      </w:pPr>
      <w:bookmarkStart w:id="4" w:name="_Hlk85443410"/>
      <w:r>
        <w:rPr>
          <w:lang w:val="en-US" w:eastAsia="zh-CN"/>
        </w:rPr>
        <w:t>8.</w:t>
      </w:r>
      <w:r>
        <w:rPr>
          <w:lang w:val="en-US" w:eastAsia="zh-CN"/>
        </w:rPr>
        <w:tab/>
      </w:r>
      <w:r>
        <w:rPr>
          <w:lang w:val="en-US" w:eastAsia="zh-CN"/>
        </w:rPr>
        <w:t>The NRF shall check whether the DCCF and the NF Service Consumer (e.g. NWDAF) are allowed to access the service provided by the identified NF Service Producers</w:t>
      </w:r>
      <w:r>
        <w:t xml:space="preserve"> </w:t>
      </w:r>
      <w:r>
        <w:rPr>
          <w:lang w:val="en-US" w:eastAsia="zh-CN"/>
        </w:rPr>
        <w:t>, and the DCCF as the proxy is allowed to</w:t>
      </w:r>
      <w:r>
        <w:t xml:space="preserve"> </w:t>
      </w:r>
      <w:r>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pPr>
        <w:pStyle w:val="104"/>
        <w:rPr>
          <w:lang w:val="en-US" w:eastAsia="zh-CN"/>
        </w:rPr>
      </w:pPr>
      <w:r>
        <w:rPr>
          <w:lang w:val="en-US" w:eastAsia="zh-CN"/>
        </w:rPr>
        <w:t xml:space="preserve">NOTE 2: A Rel-16 NRF takes CCA to authenticate NF Service Consumer if available (i.e., authentication is not based on TLS). </w:t>
      </w:r>
    </w:p>
    <w:p>
      <w:pPr>
        <w:pStyle w:val="104"/>
        <w:rPr>
          <w:lang w:val="en-US" w:eastAsia="zh-CN"/>
        </w:rPr>
      </w:pPr>
      <w:r>
        <w:rPr>
          <w:lang w:val="en-US" w:eastAsia="zh-CN"/>
        </w:rPr>
        <w:t>NOTE 3: In the case the NRF is from Rel-16 or earlier, after the NRF receives Nnrf_AccessToken_Get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4"/>
    <w:p>
      <w:pPr>
        <w:pStyle w:val="123"/>
        <w:rPr>
          <w:lang w:val="en-US" w:eastAsia="zh-CN"/>
        </w:rPr>
      </w:pPr>
      <w:r>
        <w:rPr>
          <w:lang w:val="en-US" w:eastAsia="zh-CN"/>
        </w:rPr>
        <w:t>9.</w:t>
      </w:r>
      <w:r>
        <w:rPr>
          <w:lang w:val="en-US" w:eastAsia="zh-CN"/>
        </w:rPr>
        <w:tab/>
      </w:r>
      <w:r>
        <w:rPr>
          <w:lang w:val="en-US" w:eastAsia="zh-CN"/>
        </w:rPr>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(e.g.. NWDAF) and DCCF to consume the services of NF Service Producer.</w:t>
      </w:r>
    </w:p>
    <w:p>
      <w:pPr>
        <w:pStyle w:val="104"/>
        <w:rPr>
          <w:lang w:val="en-US" w:eastAsia="zh-CN"/>
        </w:rPr>
      </w:pPr>
      <w:r>
        <w:rPr>
          <w:lang w:val="en-US" w:eastAsia="zh-CN"/>
        </w:rPr>
        <w:t>NOTE 4: In the case the NRF is from Rel-16 or earlier, the NRF generates an OAuth2.0 access token with “subject” claim mapped to the NF Service Consumer (e.g., NWDAF) and no additional claim for the DCCF identity is added.</w:t>
      </w:r>
    </w:p>
    <w:p>
      <w:pPr>
        <w:pStyle w:val="123"/>
        <w:rPr>
          <w:lang w:val="en-US" w:eastAsia="zh-CN"/>
        </w:rPr>
      </w:pPr>
      <w:r>
        <w:rPr>
          <w:lang w:val="en-US" w:eastAsia="zh-CN"/>
        </w:rPr>
        <w:t>10.</w:t>
      </w:r>
      <w:r>
        <w:rPr>
          <w:lang w:val="en-US" w:eastAsia="zh-CN"/>
        </w:rPr>
        <w:tab/>
      </w:r>
      <w:r>
        <w:rPr>
          <w:lang w:val="en-US" w:eastAsia="zh-CN"/>
        </w:rPr>
        <w:t xml:space="preserve">The DCCF requests service from the NF Service Producer. The request also consists of CCA_NWDAF, so that the NF Service Producer(s) authenticates the NF Service Consumer (e.g. NWDAF). </w:t>
      </w:r>
    </w:p>
    <w:p>
      <w:pPr>
        <w:pStyle w:val="123"/>
        <w:rPr>
          <w:lang w:val="en-US" w:eastAsia="zh-CN"/>
        </w:rPr>
      </w:pPr>
      <w:r>
        <w:rPr>
          <w:lang w:val="en-US" w:eastAsia="zh-CN"/>
        </w:rPr>
        <w:t>11.</w:t>
      </w:r>
      <w:r>
        <w:rPr>
          <w:lang w:val="en-US" w:eastAsia="zh-CN"/>
        </w:rPr>
        <w:tab/>
      </w:r>
      <w:r>
        <w:rPr>
          <w:lang w:val="en-US" w:eastAsia="zh-CN"/>
        </w:rPr>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NF Service Producer(s) assure that the DCCF as the proxy is allowed to receive the response message on behalf the NF Service Consumer, and execute the service after successful verification. DCCF may include an additional CCA for authentication.</w:t>
      </w:r>
    </w:p>
    <w:p>
      <w:pPr>
        <w:pStyle w:val="104"/>
        <w:rPr>
          <w:lang w:val="en-US" w:eastAsia="zh-CN"/>
        </w:rPr>
      </w:pPr>
      <w:r>
        <w:t>NOTE 5: Rel-16 NF Service Producer</w:t>
      </w:r>
      <w:r>
        <w:rPr>
          <w:lang w:val="en-US" w:eastAsia="zh-CN"/>
        </w:rPr>
        <w:t xml:space="preserve"> takes CCA to authenticate NF Service Consumer if available (i.e., authentication is not based on TLS).</w:t>
      </w:r>
    </w:p>
    <w:p>
      <w:pPr>
        <w:pStyle w:val="123"/>
        <w:rPr>
          <w:lang w:val="en-US" w:eastAsia="zh-CN"/>
        </w:rPr>
      </w:pPr>
      <w:r>
        <w:rPr>
          <w:lang w:val="en-US" w:eastAsia="zh-CN"/>
        </w:rPr>
        <w:t>12. The NF Service Producer(s) shall provide requested data to the DCCF.</w:t>
      </w:r>
    </w:p>
    <w:p>
      <w:pPr>
        <w:pStyle w:val="123"/>
        <w:rPr>
          <w:lang w:val="en-US" w:eastAsia="zh-CN"/>
        </w:rPr>
      </w:pPr>
      <w:r>
        <w:rPr>
          <w:lang w:val="en-US" w:eastAsia="zh-CN"/>
        </w:rPr>
        <w:t>13. The DCCF forwards the received data to the NF Service Consumer(s).</w:t>
      </w:r>
    </w:p>
    <w:p>
      <w:pPr>
        <w:pStyle w:val="104"/>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[105]), or in the case of access token verification failure, the DCCF rejects the request received by the NF Service Consumer.</w:t>
      </w:r>
    </w:p>
    <w:p>
      <w:pPr>
        <w:pStyle w:val="104"/>
        <w:rPr>
          <w:lang w:val="en-US" w:eastAsia="zh-CN"/>
        </w:rPr>
      </w:pPr>
      <w:r>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rFonts w:ascii="Arial" w:hAnsi="Arial"/>
          <w:sz w:val="36"/>
        </w:rPr>
      </w:pPr>
      <w:r>
        <w:rPr>
          <w:rFonts w:hint="eastAsia" w:ascii="Arial" w:hAnsi="Arial"/>
          <w:sz w:val="36"/>
          <w:lang w:eastAsia="zh-CN"/>
        </w:rPr>
        <w:t>X.</w:t>
      </w:r>
      <w:r>
        <w:rPr>
          <w:rFonts w:ascii="Arial" w:hAnsi="Arial"/>
          <w:sz w:val="36"/>
          <w:lang w:eastAsia="zh-CN"/>
        </w:rPr>
        <w:t>3</w:t>
      </w:r>
      <w:r>
        <w:rPr>
          <w:rFonts w:ascii="Arial" w:hAnsi="Arial"/>
          <w:sz w:val="36"/>
        </w:rPr>
        <w:tab/>
      </w:r>
      <w:r>
        <w:rPr>
          <w:rFonts w:ascii="Arial" w:hAnsi="Arial"/>
          <w:sz w:val="36"/>
        </w:rPr>
        <w:t>Authorization of NF Service Consumers for data access via DCCF when notification sent via MFAF</w:t>
      </w:r>
    </w:p>
    <w:p>
      <w:pPr>
        <w:rPr>
          <w:lang w:val="en-US" w:eastAsia="zh-CN"/>
        </w:rPr>
      </w:pPr>
      <w:r>
        <w:rPr>
          <w:lang w:val="en-US"/>
        </w:rPr>
        <w:t>The detailed procedure for NF Service Consumer to receive data from Service Producers via DCCF when notification is sent via MFAF is depicted in Figure X.3-1:</w:t>
      </w:r>
    </w:p>
    <w:p>
      <w:pPr>
        <w:pStyle w:val="103"/>
        <w:rPr>
          <w:lang w:val="en-US"/>
        </w:rPr>
      </w:pPr>
      <w:r>
        <w:object>
          <v:shape id="_x0000_i1026" o:spt="75" type="#_x0000_t75" style="height:559.8pt;width:481.8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2"/>
        <w:rPr>
          <w:lang w:val="en-US"/>
        </w:rPr>
      </w:pPr>
      <w:r>
        <w:rPr>
          <w:lang w:val="en-US"/>
        </w:rPr>
        <w:t>Figure X.3-1: Service Consumer Authorization to receive data from Service Producers via MFAF</w:t>
      </w:r>
    </w:p>
    <w:p>
      <w:pPr>
        <w:pStyle w:val="104"/>
        <w:rPr>
          <w:lang w:val="en-US" w:eastAsia="zh-CN"/>
        </w:rPr>
      </w:pPr>
      <w:r>
        <w:rPr>
          <w:lang w:val="en-US" w:eastAsia="zh-CN"/>
        </w:rPr>
        <w:t>Steps 1-9 are same as Steps 1 – 9 of Annex X.2</w:t>
      </w:r>
    </w:p>
    <w:p>
      <w:pPr>
        <w:pStyle w:val="123"/>
        <w:rPr>
          <w:lang w:val="en-US" w:eastAsia="zh-CN"/>
        </w:rPr>
      </w:pPr>
      <w:r>
        <w:rPr>
          <w:lang w:val="en-US" w:eastAsia="zh-CN"/>
        </w:rPr>
        <w:t xml:space="preserve">10-11. The DCCF sends an access token request to the NRF to request service from MFAF. NRF after verifying sends access_token_dccf to DCCF to consume the services of MFAF. </w:t>
      </w:r>
    </w:p>
    <w:p>
      <w:pPr>
        <w:pStyle w:val="123"/>
        <w:rPr>
          <w:lang w:val="en-US" w:eastAsia="zh-CN"/>
        </w:rPr>
      </w:pPr>
      <w:r>
        <w:rPr>
          <w:lang w:val="en-US" w:eastAsia="zh-CN"/>
        </w:rPr>
        <w:t>12. DCCF shall then send the</w:t>
      </w:r>
      <w:r>
        <w:t xml:space="preserve"> </w:t>
      </w:r>
      <w:r>
        <w:rPr>
          <w:lang w:val="en-US" w:eastAsia="zh-CN"/>
        </w:rPr>
        <w:t xml:space="preserve">Nmfaf_3daDataManagement_Configure request to MFAF (as specified in the Clause 6.2.6.3.2 in TS 23.288[105]) along with the access_token_dccf. </w:t>
      </w:r>
    </w:p>
    <w:p>
      <w:pPr>
        <w:pStyle w:val="104"/>
        <w:rPr>
          <w:lang w:val="en-US" w:eastAsia="zh-CN"/>
        </w:rPr>
      </w:pPr>
      <w:r>
        <w:rPr>
          <w:lang w:val="en-US" w:eastAsia="zh-CN"/>
        </w:rPr>
        <w:t>Steps 13 – 14 are same as Steps 10 – 11 of Annex X.2</w:t>
      </w:r>
    </w:p>
    <w:p>
      <w:pPr>
        <w:pStyle w:val="123"/>
        <w:rPr>
          <w:lang w:val="en-US" w:eastAsia="zh-CN"/>
        </w:rPr>
      </w:pPr>
      <w:r>
        <w:rPr>
          <w:lang w:val="en-US" w:eastAsia="zh-CN"/>
        </w:rPr>
        <w:t>15. The NF Service Producer(s) shall provide requested data to the MFAF.</w:t>
      </w:r>
    </w:p>
    <w:p>
      <w:pPr>
        <w:pStyle w:val="123"/>
        <w:rPr>
          <w:lang w:val="en-US" w:eastAsia="zh-CN"/>
        </w:rPr>
      </w:pPr>
      <w:r>
        <w:rPr>
          <w:lang w:val="en-US" w:eastAsia="zh-CN"/>
        </w:rPr>
        <w:t>16. The MFAF forwards the received data to the data consumer(s).</w:t>
      </w:r>
    </w:p>
    <w:p>
      <w:pPr>
        <w:pStyle w:val="104"/>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pPr>
        <w:pStyle w:val="104"/>
        <w:rPr>
          <w:lang w:eastAsia="zh-CN"/>
        </w:rPr>
      </w:pPr>
      <w:r>
        <w:rPr>
          <w:lang w:val="en-US" w:eastAsia="zh-CN"/>
        </w:rPr>
        <w:t>NOTE 2: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sz w:val="36"/>
          <w:lang w:eastAsia="zh-CN"/>
        </w:rPr>
      </w:pPr>
      <w:r>
        <w:rPr>
          <w:rFonts w:ascii="Arial" w:hAnsi="Arial"/>
          <w:sz w:val="36"/>
          <w:lang w:eastAsia="zh-CN"/>
        </w:rPr>
        <w:t>X.</w:t>
      </w:r>
      <w:r>
        <w:rPr>
          <w:rFonts w:hint="eastAsia" w:ascii="Arial" w:hAnsi="Arial"/>
          <w:sz w:val="36"/>
          <w:lang w:eastAsia="zh-CN"/>
        </w:rPr>
        <w:t>4</w:t>
      </w:r>
      <w:r>
        <w:rPr>
          <w:rFonts w:ascii="Arial" w:hAnsi="Arial"/>
          <w:sz w:val="36"/>
          <w:lang w:eastAsia="zh-CN"/>
        </w:rPr>
        <w:tab/>
      </w:r>
      <w:bookmarkStart w:id="5" w:name="_Hlk86314440"/>
      <w:r>
        <w:rPr>
          <w:rFonts w:ascii="Arial" w:hAnsi="Arial"/>
          <w:sz w:val="36"/>
          <w:lang w:eastAsia="zh-CN"/>
        </w:rPr>
        <w:t>Security protection of data via Messaging Framework</w:t>
      </w:r>
      <w:bookmarkEnd w:id="5"/>
    </w:p>
    <w:p>
      <w:pPr>
        <w:rPr>
          <w:lang w:val="en-US" w:eastAsia="zh-CN"/>
        </w:rPr>
      </w:pPr>
      <w:r>
        <w:rPr>
          <w:lang w:val="en-US" w:eastAsia="zh-CN"/>
        </w:rPr>
        <w:t>The transfer of the data between the data source and data consumer via the messaging framework shall be confidentiality, integrity, and replay protected.</w:t>
      </w:r>
    </w:p>
    <w:p>
      <w:pPr>
        <w:rPr>
          <w:lang w:val="en-US" w:eastAsia="zh-CN"/>
        </w:rPr>
      </w:pPr>
      <w:r>
        <w:rPr>
          <w:lang w:val="en-US" w:eastAsia="zh-CN"/>
        </w:rPr>
        <w:t>Confidentiality protection, integrity protection, and replay-protection shall be supported on the new interfaces between 3GPP entities and MFAF by reusing the existing security mechanism defined for SBA in Clause 13.</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X.5</w:t>
      </w:r>
      <w:r>
        <w:rPr>
          <w:rFonts w:ascii="Arial" w:hAnsi="Arial"/>
          <w:sz w:val="36"/>
          <w:lang w:eastAsia="zh-CN"/>
        </w:rPr>
        <w:tab/>
      </w:r>
      <w:r>
        <w:rPr>
          <w:rFonts w:hint="eastAsia" w:ascii="Arial" w:hAnsi="Arial"/>
          <w:sz w:val="36"/>
          <w:lang w:eastAsia="zh-CN"/>
        </w:rPr>
        <w:t>P</w:t>
      </w:r>
      <w:r>
        <w:rPr>
          <w:rFonts w:ascii="Arial" w:hAnsi="Arial"/>
          <w:sz w:val="36"/>
          <w:lang w:eastAsia="zh-CN"/>
        </w:rPr>
        <w:t xml:space="preserve">rotection of data transferred between </w:t>
      </w:r>
      <w:r>
        <w:rPr>
          <w:rFonts w:hint="eastAsia" w:ascii="Arial" w:hAnsi="Arial"/>
          <w:sz w:val="36"/>
          <w:lang w:eastAsia="zh-CN"/>
        </w:rPr>
        <w:t>A</w:t>
      </w:r>
      <w:r>
        <w:rPr>
          <w:rFonts w:ascii="Arial" w:hAnsi="Arial"/>
          <w:sz w:val="36"/>
          <w:lang w:eastAsia="zh-CN"/>
        </w:rPr>
        <w:t>F and NWDAF</w:t>
      </w:r>
    </w:p>
    <w:p>
      <w:pPr>
        <w:rPr>
          <w:rFonts w:eastAsia="宋体"/>
          <w:lang w:eastAsia="zh-CN"/>
        </w:rPr>
      </w:pPr>
      <w:r>
        <w:rPr>
          <w:rFonts w:eastAsia="宋体"/>
          <w:lang w:eastAsia="zh-CN"/>
        </w:rPr>
        <w:t>A</w:t>
      </w:r>
      <w:r>
        <w:rPr>
          <w:rFonts w:hint="eastAsia" w:eastAsia="宋体"/>
          <w:lang w:eastAsia="zh-CN"/>
        </w:rPr>
        <w:t>s specified in TS 23.288[</w:t>
      </w:r>
      <w:r>
        <w:rPr>
          <w:rFonts w:eastAsia="宋体"/>
          <w:lang w:eastAsia="zh-CN"/>
        </w:rPr>
        <w:t>105</w:t>
      </w:r>
      <w:r>
        <w:rPr>
          <w:rFonts w:hint="eastAsia" w:eastAsia="宋体"/>
          <w:lang w:eastAsia="zh-CN"/>
        </w:rPr>
        <w:t>], t</w:t>
      </w:r>
      <w:r>
        <w:rPr>
          <w:rFonts w:eastAsia="宋体"/>
          <w:lang w:eastAsia="ko-KR"/>
        </w:rPr>
        <w:t xml:space="preserve">he NWDAF may interact with an AF to collect data from UE Application(s) as an input for analytics generation. The AF can be in the MNO domain or an AF external to MNO domain. </w:t>
      </w:r>
      <w:r>
        <w:rPr>
          <w:rFonts w:eastAsia="宋体"/>
          <w:lang w:eastAsia="zh-CN"/>
        </w:rPr>
        <w:t xml:space="preserve">To enhance the 5GS to support collection and utilisation of UE related data for providing the inputs to generate analytics information (to be consumed by other NFs), the communication between </w:t>
      </w:r>
      <w:r>
        <w:rPr>
          <w:rFonts w:hint="eastAsia" w:eastAsia="宋体"/>
          <w:lang w:eastAsia="zh-CN"/>
        </w:rPr>
        <w:t xml:space="preserve">AF and </w:t>
      </w:r>
      <w:r>
        <w:rPr>
          <w:rFonts w:eastAsia="宋体"/>
          <w:lang w:eastAsia="zh-CN"/>
        </w:rPr>
        <w:t>NWDAF needs to be secured.</w:t>
      </w:r>
    </w:p>
    <w:p>
      <w:pPr>
        <w:rPr>
          <w:rFonts w:eastAsia="宋体"/>
          <w:lang w:eastAsia="zh-CN"/>
        </w:rPr>
      </w:pPr>
      <w:r>
        <w:rPr>
          <w:rFonts w:eastAsia="宋体"/>
          <w:lang w:eastAsia="zh-CN"/>
        </w:rPr>
        <w:t xml:space="preserve">The NWDAF interacts with the 5GC NFs and the AF using Service-based Interfaces. The existing 5G security mechanism can be reused for the </w:t>
      </w:r>
      <w:r>
        <w:rPr>
          <w:rFonts w:eastAsia="宋体"/>
        </w:rPr>
        <w:t xml:space="preserve">transfer of UE data over the SBA interface between AF and NWDAF. </w:t>
      </w:r>
      <w:r>
        <w:rPr>
          <w:rFonts w:eastAsia="宋体"/>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The security aspects of NEF is specified in clause 12.</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X.6</w:t>
      </w:r>
      <w:r>
        <w:rPr>
          <w:rFonts w:ascii="Arial" w:hAnsi="Arial"/>
          <w:sz w:val="36"/>
          <w:lang w:eastAsia="zh-CN"/>
        </w:rPr>
        <w:tab/>
      </w:r>
      <w:r>
        <w:rPr>
          <w:rFonts w:ascii="Arial" w:hAnsi="Arial"/>
          <w:sz w:val="36"/>
          <w:lang w:eastAsia="zh-CN"/>
        </w:rPr>
        <w:t>Protection of UE data in transit</w:t>
      </w:r>
      <w:r>
        <w:rPr>
          <w:rFonts w:hint="eastAsia" w:ascii="Arial" w:hAnsi="Arial"/>
          <w:sz w:val="36"/>
          <w:lang w:eastAsia="zh-CN"/>
        </w:rPr>
        <w:t xml:space="preserve"> between NFs</w:t>
      </w:r>
    </w:p>
    <w:p>
      <w:pPr>
        <w:rPr>
          <w:rFonts w:eastAsia="宋体"/>
        </w:rPr>
      </w:pPr>
      <w:r>
        <w:rPr>
          <w:rFonts w:eastAsia="宋体"/>
        </w:rPr>
        <w:t>According to clause 13.1.0, all network functions shall support mutually authenticated TLS and HTTPS. TLS shall be used for transport protection within a PLMN unless network security is provided by other means. Thus, communication between NFs is integrity, confidentiality and replay protected.</w:t>
      </w:r>
    </w:p>
    <w:p>
      <w:pPr>
        <w:rPr>
          <w:rFonts w:eastAsia="宋体"/>
          <w:lang w:eastAsia="zh-CN"/>
        </w:rPr>
      </w:pPr>
      <w:r>
        <w:rPr>
          <w:rFonts w:eastAsia="宋体"/>
          <w:lang w:eastAsia="zh-CN"/>
        </w:rPr>
        <w:t xml:space="preserve">NFs shall obtain an access token from NRF for requesting analytics from an analytics function or providing analytics data to the analytics function.  </w:t>
      </w:r>
    </w:p>
    <w:p>
      <w:pPr>
        <w:pStyle w:val="3"/>
      </w:pPr>
      <w:bookmarkStart w:id="6" w:name="_Toc122101442"/>
      <w:r>
        <w:t>X.7</w:t>
      </w:r>
      <w:r>
        <w:tab/>
      </w:r>
      <w:r>
        <w:t>User consent requirements</w:t>
      </w:r>
      <w:bookmarkEnd w:id="6"/>
    </w:p>
    <w:p>
      <w:pPr>
        <w:rPr>
          <w:rFonts w:eastAsia="宋体"/>
          <w:lang w:val="en-US" w:eastAsia="zh-CN"/>
        </w:rPr>
      </w:pPr>
      <w:r>
        <w:rPr>
          <w:lang w:eastAsia="ko-KR"/>
        </w:rPr>
        <w:t xml:space="preserve">The user consent requirements for enablers of network automation shall comply with Annex V </w:t>
      </w:r>
      <w:r>
        <w:rPr>
          <w:rFonts w:hint="eastAsia"/>
          <w:lang w:eastAsia="zh-CN"/>
        </w:rPr>
        <w:t>of</w:t>
      </w:r>
      <w:r>
        <w:rPr>
          <w:lang w:eastAsia="ko-KR"/>
        </w:rPr>
        <w:t xml:space="preserve"> </w:t>
      </w:r>
      <w:r>
        <w:rPr>
          <w:rFonts w:hint="eastAsia"/>
          <w:lang w:eastAsia="zh-CN"/>
        </w:rPr>
        <w:t>th</w:t>
      </w:r>
      <w:r>
        <w:rPr>
          <w:lang w:eastAsia="zh-CN"/>
        </w:rPr>
        <w:t>e</w:t>
      </w:r>
      <w:r>
        <w:rPr>
          <w:lang w:eastAsia="ko-KR"/>
        </w:rPr>
        <w:t xml:space="preserve"> present document and TS 23.288 [105].</w:t>
      </w:r>
    </w:p>
    <w:p>
      <w:pPr>
        <w:pStyle w:val="3"/>
      </w:pPr>
      <w:r>
        <w:t>X.</w:t>
      </w:r>
      <w:r>
        <w:rPr>
          <w:rFonts w:hint="eastAsia" w:eastAsia="宋体"/>
          <w:lang w:val="en-US" w:eastAsia="zh-CN"/>
        </w:rPr>
        <w:t>8</w:t>
      </w:r>
      <w:r>
        <w:tab/>
      </w:r>
      <w:r>
        <w:rPr>
          <w:rFonts w:hint="eastAsia"/>
        </w:rPr>
        <w:t>Protection of data and analytics exchange in roaming case</w:t>
      </w:r>
    </w:p>
    <w:p>
      <w:pPr>
        <w:pStyle w:val="4"/>
        <w:rPr>
          <w:lang w:val="en-US" w:eastAsia="zh-CN"/>
        </w:rPr>
      </w:pPr>
      <w:r>
        <w:rPr>
          <w:rFonts w:hint="eastAsia"/>
          <w:lang w:eastAsia="zh-CN"/>
        </w:rPr>
        <w:t>X</w:t>
      </w:r>
      <w:r>
        <w:rPr>
          <w:lang w:eastAsia="zh-CN"/>
        </w:rPr>
        <w:t>.</w:t>
      </w:r>
      <w:r>
        <w:rPr>
          <w:rFonts w:hint="eastAsia"/>
          <w:lang w:val="en-US" w:eastAsia="zh-CN"/>
        </w:rPr>
        <w:t>8</w:t>
      </w:r>
      <w:r>
        <w:rPr>
          <w:lang w:eastAsia="zh-CN"/>
        </w:rPr>
        <w:t>.</w:t>
      </w:r>
      <w:r>
        <w:rPr>
          <w:rFonts w:hint="eastAsia"/>
          <w:lang w:val="en-US" w:eastAsia="zh-CN"/>
        </w:rPr>
        <w:t>1</w:t>
      </w:r>
      <w:r>
        <w:rPr>
          <w:lang w:eastAsia="zh-CN"/>
        </w:rPr>
        <w:t xml:space="preserve"> </w:t>
      </w:r>
      <w:r>
        <w:rPr>
          <w:rFonts w:hint="eastAsia"/>
          <w:lang w:val="en-US" w:eastAsia="zh-CN"/>
        </w:rPr>
        <w:t>General</w:t>
      </w:r>
    </w:p>
    <w:p>
      <w:pPr>
        <w:rPr>
          <w:lang w:val="en-US" w:eastAsia="zh-CN"/>
        </w:rPr>
      </w:pPr>
      <w:r>
        <w:t xml:space="preserve">The </w:t>
      </w:r>
      <w:r>
        <w:rPr>
          <w:rFonts w:hint="eastAsia" w:eastAsia="宋体"/>
          <w:lang w:val="en-US" w:eastAsia="zh-CN"/>
        </w:rPr>
        <w:t>protection of data and analytics exchange in roaming case including authorization and anonymization of data/analytics</w:t>
      </w:r>
      <w:r>
        <w:t>:</w:t>
      </w:r>
    </w:p>
    <w:p>
      <w:pPr>
        <w:pStyle w:val="123"/>
        <w:ind w:left="400" w:hanging="400"/>
      </w:pPr>
      <w:r>
        <w:t>-</w:t>
      </w:r>
      <w:r>
        <w:tab/>
      </w:r>
      <w:r>
        <w:t>Authorization at data and analytics level is enforced by the roaming entry NWDAF producer. The parameters used by NWDAF service consumer to request/subscribe to the services provided by NWDAF producer are defined in TS 23.288 [</w:t>
      </w:r>
      <w:r>
        <w:rPr>
          <w:rFonts w:hint="eastAsia" w:eastAsia="宋体"/>
          <w:lang w:val="en-US" w:eastAsia="zh-CN"/>
        </w:rPr>
        <w:t>10</w:t>
      </w:r>
      <w:r>
        <w:t>5], clause 6.1.5. Accordingly, the operator authorization policies can be configured locally in the NWDAF producer</w:t>
      </w:r>
      <w:r>
        <w:rPr>
          <w:rFonts w:hint="eastAsia" w:eastAsia="宋体"/>
          <w:lang w:val="en-US" w:eastAsia="zh-CN"/>
        </w:rPr>
        <w:t xml:space="preserve">. </w:t>
      </w:r>
      <w:r>
        <w:t xml:space="preserve"> </w:t>
      </w:r>
      <w:r>
        <w:rPr>
          <w:rFonts w:hint="eastAsia"/>
        </w:rPr>
        <w:t>Also, when the NWDAF in one PLMN requests an access token from the NRF in the peer PLMN, the access token request and the access token claims may contain the analytics ID.</w:t>
      </w:r>
    </w:p>
    <w:p>
      <w:pPr>
        <w:ind w:left="284" w:hanging="284"/>
      </w:pPr>
      <w:r>
        <w:t>-</w:t>
      </w:r>
      <w:r>
        <w:tab/>
      </w:r>
      <w: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p>
    <w:p>
      <w:pPr>
        <w:pStyle w:val="122"/>
        <w:ind w:hanging="415"/>
      </w:pPr>
      <w:r>
        <w:t>Editor's Note</w:t>
      </w:r>
      <w:r>
        <w:rPr>
          <w:lang w:eastAsia="zh-CN"/>
        </w:rPr>
        <w:t>:</w:t>
      </w:r>
      <w:r>
        <w:rPr>
          <w:lang w:val="en-US" w:eastAsia="zh-CN"/>
        </w:rPr>
        <w:t xml:space="preserve"> </w:t>
      </w:r>
      <w:r>
        <w:rPr>
          <w:rFonts w:hint="eastAsia"/>
          <w:lang w:val="en-US" w:eastAsia="zh-CN"/>
        </w:rPr>
        <w:t>The procedure for the p</w:t>
      </w:r>
      <w:r>
        <w:rPr>
          <w:rFonts w:hint="eastAsia"/>
        </w:rPr>
        <w:t>rotection of data and analytics exchange in roaming case</w:t>
      </w:r>
      <w:r>
        <w:rPr>
          <w:rFonts w:hint="eastAsia" w:eastAsia="宋体"/>
          <w:lang w:val="en-US" w:eastAsia="zh-CN"/>
        </w:rPr>
        <w:t xml:space="preserve"> is FFS</w:t>
      </w:r>
      <w:r>
        <w:rPr>
          <w:rFonts w:hint="eastAsia"/>
          <w:lang w:val="en-US" w:eastAsia="zh-CN"/>
        </w:rPr>
        <w:t xml:space="preserve"> </w:t>
      </w:r>
      <w:r>
        <w:rPr>
          <w:lang w:eastAsia="zh-CN"/>
        </w:rPr>
        <w:t>.</w:t>
      </w:r>
    </w:p>
    <w:p>
      <w:pPr>
        <w:pStyle w:val="122"/>
        <w:rPr>
          <w:lang w:eastAsia="zh-CN"/>
        </w:rPr>
      </w:pPr>
    </w:p>
    <w:p>
      <w:pPr>
        <w:pStyle w:val="3"/>
        <w:rPr>
          <w:lang w:eastAsia="zh-CN"/>
        </w:rPr>
      </w:pPr>
      <w:r>
        <w:t>X.</w:t>
      </w:r>
      <w:r>
        <w:rPr>
          <w:rFonts w:hint="eastAsia" w:eastAsia="宋体"/>
          <w:lang w:val="en-US" w:eastAsia="zh-CN"/>
        </w:rPr>
        <w:t>9</w:t>
      </w:r>
      <w:r>
        <w:tab/>
      </w:r>
      <w:r>
        <w:rPr>
          <w:lang w:eastAsia="zh-CN"/>
        </w:rPr>
        <w:t xml:space="preserve">Authorization of selection of participant NWDAF instances in the Federated Learning group </w:t>
      </w:r>
    </w:p>
    <w:p>
      <w:r>
        <w:t xml:space="preserve">The authorization for selecting participant NWDAF instances in the Federated Learning (FL) group uses token-based authorization as specified in clause 13.4.1, with the following additions. </w:t>
      </w:r>
    </w:p>
    <w:p>
      <w:r>
        <w:t>Figure X.</w:t>
      </w:r>
      <w:r>
        <w:rPr>
          <w:rFonts w:hint="eastAsia"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pPr>
        <w:pStyle w:val="122"/>
      </w:pPr>
      <w:r>
        <w:t xml:space="preserve">Editor’s note: The use of Service area, interoperability indicator and Availability time requirement for authorization is FFS. </w:t>
      </w:r>
    </w:p>
    <w:p>
      <w:pPr>
        <w:pStyle w:val="103"/>
      </w:pPr>
      <w:r>
        <w:object>
          <v:shape id="_x0000_i1027" o:spt="75" type="#_x0000_t75" style="height:226.35pt;width:450.15pt;" o:ole="t" filled="f" o:preferrelative="t" stroked="f" coordsize="21600,21600">
            <v:path/>
            <v:fill on="f" alignshape="1" focussize="0,0"/>
            <v:stroke on="f"/>
            <v:imagedata r:id="rId14" grayscale="f" bilevel="f" o:title=""/>
            <o:lock v:ext="edit" aspectratio="t"/>
            <w10:wrap type="none"/>
            <w10:anchorlock/>
          </v:shape>
          <o:OLEObject Type="Embed" ProgID="Visio.Drawing.15" ShapeID="_x0000_i1027" DrawAspect="Content" ObjectID="_1468075727" r:id="rId13">
            <o:LockedField>false</o:LockedField>
          </o:OLEObject>
        </w:object>
      </w:r>
    </w:p>
    <w:p>
      <w:pPr>
        <w:pStyle w:val="102"/>
      </w:pPr>
      <w:r>
        <w:t>Figure X.</w:t>
      </w:r>
      <w:r>
        <w:rPr>
          <w:rFonts w:hint="eastAsia" w:eastAsia="宋体"/>
          <w:lang w:val="en-US" w:eastAsia="zh-CN"/>
        </w:rPr>
        <w:t>9</w:t>
      </w:r>
      <w:r>
        <w:t>-1: FL Authorization for selecting participant NWDAF instances</w:t>
      </w:r>
    </w:p>
    <w:p>
      <w:pPr>
        <w:pStyle w:val="122"/>
      </w:pPr>
      <w:r>
        <w:t>Editor's Note: The Figure needs to be aligned with the procedure.</w:t>
      </w:r>
    </w:p>
    <w:p>
      <w:pPr>
        <w:pStyle w:val="123"/>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pPr>
        <w:pStyle w:val="123"/>
      </w:pPr>
      <w:r>
        <w:t xml:space="preserve">Step 1b. The NWDAF containing MTLF acting as FL server registers to the NRF with its FL capability (FL Server). </w:t>
      </w:r>
    </w:p>
    <w:p>
      <w:pPr>
        <w:pStyle w:val="123"/>
      </w:pPr>
      <w:r>
        <w:t>Step 2. The NWDAF containing MTLF acting as FL server (NF Service Consumer) sends a discovery request to NRF and receives the available NWDAFs containing MTLF acting as FL client(s) (NF Service Producer) as a response, as specified in clause 6.2C.2.1 of TS 23.288 [105].</w:t>
      </w:r>
    </w:p>
    <w:p>
      <w:pPr>
        <w:pStyle w:val="123"/>
      </w:pPr>
      <w:r>
        <w:t xml:space="preserve">Step 3. The NWDAF containing MTLF acting as FL server (NF Service Consumer) sends an access token request to the NRF  as specified in clause 13.4.1. The access token request may contain the Analytics ID for the requested Federated Learning process. </w:t>
      </w:r>
    </w:p>
    <w:p>
      <w:pPr>
        <w:pStyle w:val="123"/>
      </w:pPr>
      <w:r>
        <w:t>Step 4. The NRF authorizes the NWDAF containing MTLF acting as FL server (NF Consumer) based upon the information received in Step 1a, and after verifying that the Server NWDAF’s Vendor ID is included in the Interoperability Indicator for the requested Analytics ID provided in Step 1b. If the authorization succeeds, NRF generates the access token(s) as specified in clause 13.4.1. The access token claims may include the Analytics ID for the request Federated Learning process.</w:t>
      </w:r>
    </w:p>
    <w:p>
      <w:pPr>
        <w:pStyle w:val="123"/>
      </w:pPr>
      <w:r>
        <w:t xml:space="preserve">Step 5a, 5b. The NRF sends the access token to the NWDAF containing MTLF acting as FL Server, or rejects the request in case of failed authorization, as described in clause 13.4.1. </w:t>
      </w:r>
    </w:p>
    <w:p>
      <w:pPr>
        <w:pStyle w:val="123"/>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pPr>
        <w:pStyle w:val="123"/>
      </w:pPr>
      <w:r>
        <w:t>Step 7, 8. The NWDAF containing MTLF acting as FL server (NF Service Producer) verifies the received access token as specified in clause 13.4.1. In case of successful access token verification, the NWDAF containing MTLF acting as FL server sends a success response to the NWDAF containing MTLF acting as FL server, as described in TS 23.288 [105].</w:t>
      </w:r>
    </w:p>
    <w:p>
      <w:pPr>
        <w:pStyle w:val="123"/>
      </w:pPr>
      <w:r>
        <w:t>Step 9. After a sucessful response from the NWDAF(s) containing MTLF acting as FL server, the NWDAF containing MTLF acting as FL server initiates the Federated Learning process as described in TS 23.288 [105].</w:t>
      </w:r>
    </w:p>
    <w:p>
      <w:pPr>
        <w:pStyle w:val="122"/>
        <w:rPr>
          <w:lang w:eastAsia="zh-CN"/>
        </w:rPr>
      </w:pPr>
      <w:r>
        <w:rPr>
          <w:lang w:val="en-US"/>
        </w:rPr>
        <w:t>Authorization of the NWDAF containing MTLF acting as FL client is implicit, since it can join a Federated Learning group only when selected by the NWDAF containing MTLF acting as FL server.</w:t>
      </w:r>
    </w:p>
    <w:p>
      <w:pPr>
        <w:pStyle w:val="3"/>
        <w:rPr>
          <w:szCs w:val="21"/>
          <w:lang w:eastAsia="zh-CN"/>
        </w:rPr>
      </w:pPr>
      <w:r>
        <w:t>X.</w:t>
      </w:r>
      <w:r>
        <w:rPr>
          <w:rFonts w:hint="eastAsia" w:eastAsia="宋体"/>
          <w:lang w:val="en-US" w:eastAsia="zh-CN"/>
        </w:rPr>
        <w:t>10</w:t>
      </w:r>
      <w:r>
        <w:tab/>
      </w:r>
      <w:r>
        <w:rPr>
          <w:rFonts w:eastAsia="等线"/>
        </w:rPr>
        <w:t>Security for AI/ML model storage and sharing</w:t>
      </w:r>
      <w:r>
        <w:rPr>
          <w:szCs w:val="21"/>
          <w:lang w:eastAsia="zh-CN"/>
        </w:rPr>
        <w:t xml:space="preserve"> </w:t>
      </w:r>
    </w:p>
    <w:p>
      <w:pPr>
        <w:pStyle w:val="122"/>
        <w:rPr>
          <w:lang w:eastAsia="zh-CN"/>
        </w:rPr>
      </w:pPr>
    </w:p>
    <w:p>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pPr>
        <w:jc w:val="center"/>
        <w:rPr>
          <w:lang w:val="en-US" w:eastAsia="zh-CN"/>
        </w:rPr>
      </w:pPr>
      <w:r>
        <w:rPr>
          <w:rFonts w:ascii="Arial" w:hAnsi="Arial"/>
          <w:b/>
        </w:rPr>
        <w:object>
          <v:shape id="_x0000_i1028" o:spt="75" type="#_x0000_t75" style="height:577.5pt;width:440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102"/>
        <w:rPr>
          <w:lang w:val="en-US"/>
        </w:rPr>
      </w:pPr>
      <w:r>
        <w:rPr>
          <w:lang w:val="en-US"/>
        </w:rPr>
        <w:t xml:space="preserve">                      Figure X.</w:t>
      </w:r>
      <w:r>
        <w:rPr>
          <w:rFonts w:hint="eastAsia" w:eastAsia="宋体"/>
          <w:lang w:val="en-US" w:eastAsia="zh-CN"/>
        </w:rPr>
        <w:t>10</w:t>
      </w:r>
      <w:r>
        <w:rPr>
          <w:lang w:val="en-US"/>
        </w:rPr>
        <w:t>-1: Secured and authorized AI/ML model sharing between different vendors</w:t>
      </w:r>
    </w:p>
    <w:p>
      <w:pPr>
        <w:jc w:val="center"/>
      </w:pPr>
    </w:p>
    <w:p>
      <w:pPr>
        <w:pStyle w:val="123"/>
        <w:ind w:left="567" w:hanging="283"/>
        <w:rPr>
          <w:lang w:eastAsia="en-GB"/>
        </w:rPr>
      </w:pPr>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pPr>
        <w:pStyle w:val="123"/>
        <w:rPr>
          <w:lang w:eastAsia="en-GB"/>
        </w:rPr>
      </w:pPr>
      <w:r>
        <w:rPr>
          <w:lang w:eastAsia="en-GB"/>
        </w:rPr>
        <w:t>0b. NF Service consumer e.g., NWDAF containing AnLF registers at the NRF  including its Vendor ID;</w:t>
      </w:r>
    </w:p>
    <w:p>
      <w:pPr>
        <w:pStyle w:val="123"/>
        <w:rPr>
          <w:rStyle w:val="181"/>
        </w:rPr>
      </w:pPr>
      <w:r>
        <w:rPr>
          <w:rStyle w:val="181"/>
        </w:rPr>
        <w:t xml:space="preserve">Editor's Note: The inclusion of Interoperability indicator of NFc and Vendor ID of NFc are needed for authorization is ffs. </w:t>
      </w:r>
    </w:p>
    <w:p>
      <w:pPr>
        <w:pStyle w:val="123"/>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pPr>
        <w:pStyle w:val="123"/>
        <w:rPr>
          <w:lang w:eastAsia="en-GB"/>
        </w:rPr>
      </w:pPr>
      <w:r>
        <w:rPr>
          <w:lang w:eastAsia="en-GB"/>
        </w:rPr>
        <w:tab/>
      </w:r>
      <w:r>
        <w:rPr>
          <w:lang w:eastAsia="en-GB"/>
        </w:rPr>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pPr>
        <w:pStyle w:val="122"/>
        <w:rPr>
          <w:lang w:eastAsia="en-GB"/>
        </w:rPr>
      </w:pPr>
      <w:r>
        <w:rPr>
          <w:lang w:eastAsia="en-GB"/>
        </w:rPr>
        <w:t>Editor's Note: Whether key distribution is based on NF authorization or service-level agreement is ffs.</w:t>
      </w:r>
    </w:p>
    <w:p>
      <w:pPr>
        <w:pStyle w:val="123"/>
        <w:rPr>
          <w:lang w:eastAsia="en-GB"/>
        </w:rPr>
      </w:pPr>
      <w:r>
        <w:rPr>
          <w:lang w:eastAsia="en-GB"/>
        </w:rPr>
        <w:t xml:space="preserve">1. </w:t>
      </w:r>
      <w:r>
        <w:tab/>
      </w:r>
      <w:bookmarkStart w:id="7" w:name="_Hlk134139198"/>
      <w:r>
        <w:rPr>
          <w:lang w:eastAsia="en-GB"/>
        </w:rPr>
        <w:t xml:space="preserve">NWDAF containing MTLF triggers the </w:t>
      </w:r>
      <w:r>
        <w:t>Nadrf_MLModelManagement_StorageRequest as described in TS 23.288 [105]</w:t>
      </w:r>
      <w:r>
        <w:rPr>
          <w:lang w:eastAsia="en-GB"/>
        </w:rPr>
        <w:t xml:space="preserve">, </w:t>
      </w:r>
      <w:r>
        <w:rPr>
          <w:lang w:val="en-US" w:eastAsia="en-GB"/>
        </w:rPr>
        <w:t xml:space="preserve">optionally </w:t>
      </w:r>
      <w:r>
        <w:rPr>
          <w:lang w:eastAsia="en-GB"/>
        </w:rPr>
        <w:t>including an allowed NFc list.</w:t>
      </w:r>
      <w:bookmarkEnd w:id="7"/>
    </w:p>
    <w:p>
      <w:pPr>
        <w:pStyle w:val="123"/>
        <w:rPr>
          <w:lang w:eastAsia="en-GB"/>
        </w:rPr>
      </w:pPr>
      <w:r>
        <w:rPr>
          <w:lang w:eastAsia="en-GB"/>
        </w:rPr>
        <w:t xml:space="preserve">2. </w:t>
      </w:r>
      <w:r>
        <w:rPr>
          <w:lang w:eastAsia="en-GB"/>
        </w:rPr>
        <w:tab/>
      </w:r>
      <w:r>
        <w:rPr>
          <w:lang w:eastAsia="en-GB"/>
        </w:rPr>
        <w:t>ADRF sends the response to NWDAF containing MTLF as described in TS 23.288 [105].</w:t>
      </w:r>
    </w:p>
    <w:p>
      <w:pPr>
        <w:pStyle w:val="123"/>
        <w:rPr>
          <w:lang w:eastAsia="en-GB"/>
        </w:rPr>
      </w:pPr>
      <w:r>
        <w:rPr>
          <w:lang w:eastAsia="en-GB"/>
        </w:rPr>
        <w:t xml:space="preserve">3. </w:t>
      </w:r>
      <w:r>
        <w:rPr>
          <w:lang w:eastAsia="en-GB"/>
        </w:rPr>
        <w:tab/>
      </w:r>
      <w:r>
        <w:rPr>
          <w:lang w:eastAsia="en-GB"/>
        </w:rPr>
        <w:t>NF Service consumer e.g., NWDAF containing AnLF performs Nnrf_NFDiscovery_Request operation with the requested Analytics ID to select a suitable NF Service Producer e.g., NWDAF containing MTLF.</w:t>
      </w:r>
    </w:p>
    <w:p>
      <w:pPr>
        <w:pStyle w:val="123"/>
        <w:rPr>
          <w:lang w:eastAsia="en-GB"/>
        </w:rPr>
      </w:pPr>
      <w:r>
        <w:rPr>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pPr>
        <w:pStyle w:val="123"/>
        <w:rPr>
          <w:lang w:eastAsia="en-GB"/>
        </w:rPr>
      </w:pPr>
      <w:r>
        <w:rPr>
          <w:lang w:eastAsia="en-GB"/>
        </w:rP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pPr>
        <w:pStyle w:val="123"/>
        <w:rPr>
          <w:lang w:eastAsia="en-GB"/>
        </w:rPr>
      </w:pPr>
      <w:r>
        <w:rPr>
          <w:lang w:eastAsia="en-GB"/>
        </w:rPr>
        <w:t xml:space="preserve"> 5. </w:t>
      </w:r>
      <w:r>
        <w:rPr>
          <w:lang w:eastAsia="en-GB"/>
        </w:rPr>
        <w:tab/>
      </w:r>
      <w:r>
        <w:rPr>
          <w:lang w:eastAsia="en-GB"/>
        </w:rPr>
        <w:t>NF Service Consumer performs Nnwdaf_MLModelProvision (Analytics ID, Vendor ID and token1) service operation at the NWDAF containing MTLF to retrieve ML models for the Analytics ID.</w:t>
      </w:r>
    </w:p>
    <w:p>
      <w:pPr>
        <w:pStyle w:val="123"/>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If verification is successful, NWDAF containing MTLF determines the ML model to be shared for the requested Analytics ID and stored the NF instance ID of NWDAF containing AnLF as part of allowed NF instance list for the ML model.</w:t>
      </w:r>
    </w:p>
    <w:p>
      <w:pPr>
        <w:pStyle w:val="123"/>
        <w:ind w:left="567" w:hanging="400"/>
        <w:rPr>
          <w:lang w:eastAsia="en-GB"/>
        </w:rPr>
      </w:pPr>
      <w:r>
        <w:rPr>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Then, ADRF stores the allowed NF instance list for the ML model referenced by the Model ID.</w:t>
      </w:r>
    </w:p>
    <w:p>
      <w:pPr>
        <w:pStyle w:val="122"/>
        <w:rPr>
          <w:lang w:eastAsia="en-GB"/>
        </w:rPr>
      </w:pPr>
      <w:r>
        <w:rPr>
          <w:lang w:val="en-US" w:eastAsia="en-GB"/>
        </w:rPr>
        <w:t xml:space="preserve">Editor's Note: New service operation </w:t>
      </w:r>
      <w:r>
        <w:rPr>
          <w:lang w:eastAsia="en-GB"/>
        </w:rPr>
        <w:t>Nadrf_MLModelManagement_StorageRequest Update needs to be defined by SA2.</w:t>
      </w:r>
    </w:p>
    <w:p>
      <w:pPr>
        <w:pStyle w:val="122"/>
        <w:rPr>
          <w:lang w:eastAsia="en-GB"/>
        </w:rPr>
      </w:pPr>
      <w:r>
        <w:rPr>
          <w:lang w:eastAsia="en-GB"/>
        </w:rPr>
        <w:t>Editor's Note: How the MTLF and ADRF can identify which list of allowed NF consumers belongs to which model stored in the ADRF (e.g. by Storage Transaction ID) is ffs.</w:t>
      </w:r>
    </w:p>
    <w:p>
      <w:pPr>
        <w:pStyle w:val="123"/>
      </w:pPr>
      <w:r>
        <w:rPr>
          <w:lang w:eastAsia="en-GB"/>
        </w:rPr>
        <w:t xml:space="preserve">  </w:t>
      </w:r>
      <w:r>
        <w:t>6c. ADRF sends the response to NWDAF containing MTLF which contains Model ID.</w:t>
      </w:r>
    </w:p>
    <w:p>
      <w:pPr>
        <w:pStyle w:val="123"/>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pPr>
        <w:pStyle w:val="123"/>
      </w:pPr>
      <w:r>
        <w:t xml:space="preserve">       If the ML model is to be retrieved from ADRF, the following steps are applied:</w:t>
      </w:r>
    </w:p>
    <w:p>
      <w:pPr>
        <w:pStyle w:val="123"/>
        <w:rPr>
          <w:lang w:eastAsia="en-GB"/>
        </w:rPr>
      </w:pPr>
      <w:r>
        <w:t xml:space="preserve">  8a. NF Service Consumer requests an access token from the NRF to be authorized to retrieve the model stored in ADRF as specified in clause 13.4.1.  </w:t>
      </w:r>
    </w:p>
    <w:p>
      <w:pPr>
        <w:pStyle w:val="123"/>
      </w:pPr>
      <w:r>
        <w:t xml:space="preserve">  8b. </w:t>
      </w:r>
      <w:r>
        <w:rPr>
          <w:lang w:eastAsia="en-GB"/>
        </w:rPr>
        <w:t xml:space="preserve">NRF verifies that the NF Service consumer e.g., NWDAF containing AnLF is authorized to </w:t>
      </w:r>
      <w:r>
        <w:rPr>
          <w:lang w:val="en-US" w:eastAsia="zh-CN"/>
        </w:rPr>
        <w:t>access the service provided by the ADRF</w:t>
      </w:r>
      <w:r>
        <w:rPr>
          <w:lang w:eastAsia="en-GB"/>
        </w:rPr>
        <w:t>. If verification is successful, NRF grants the token (token2), based on the information provided in ADRF's NF profile.</w:t>
      </w:r>
    </w:p>
    <w:p>
      <w:pPr>
        <w:pStyle w:val="123"/>
        <w:ind w:left="567" w:hanging="425"/>
        <w:rPr>
          <w:lang w:eastAsia="en-GB"/>
        </w:rPr>
      </w:pPr>
      <w:r>
        <w:rPr>
          <w:lang w:eastAsia="en-GB"/>
        </w:rPr>
        <w:t xml:space="preserve">    9.  NF Service consumer e.g., NWDAF containing AnLF requests to retrieve the target model by sending   Nadrf_MLModelManagement_Retrieval Request as described in clause 10.3.4 TS 23.288 [105], including token2.</w:t>
      </w:r>
    </w:p>
    <w:p>
      <w:pPr>
        <w:pStyle w:val="123"/>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p>
    <w:p>
      <w:pPr>
        <w:pStyle w:val="123"/>
        <w:ind w:left="567" w:hanging="425"/>
        <w:rPr>
          <w:lang w:eastAsia="en-GB"/>
        </w:rPr>
      </w:pPr>
      <w:r>
        <w:rPr>
          <w:lang w:eastAsia="en-GB"/>
        </w:rPr>
        <w:t xml:space="preserve">    11. NF Service Consumer retrieves the ML model from ADRF and decrypts the model </w:t>
      </w:r>
      <w:r>
        <w:rPr>
          <w:rFonts w:eastAsia="Times New Roman"/>
          <w:lang w:eastAsia="en-GB"/>
        </w:rPr>
        <w:t>per the vendor’s  implementation.</w:t>
      </w:r>
      <w:r>
        <w:rPr>
          <w:lang w:eastAsia="en-GB"/>
        </w:rPr>
        <w:t xml:space="preserve"> </w:t>
      </w:r>
    </w:p>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B880372"/>
    <w:multiLevelType w:val="multilevel"/>
    <w:tmpl w:val="6B880372"/>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7354D"/>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9156C"/>
    <w:rsid w:val="00EB09B7"/>
    <w:rsid w:val="00EE7D7C"/>
    <w:rsid w:val="00EF41E9"/>
    <w:rsid w:val="00F25D98"/>
    <w:rsid w:val="00F300FB"/>
    <w:rsid w:val="00F3089A"/>
    <w:rsid w:val="00F35120"/>
    <w:rsid w:val="00F61143"/>
    <w:rsid w:val="00FB5831"/>
    <w:rsid w:val="00FB6386"/>
    <w:rsid w:val="00FD4A11"/>
    <w:rsid w:val="00FD596C"/>
    <w:rsid w:val="00FF1BA1"/>
    <w:rsid w:val="00FF7B0E"/>
    <w:rsid w:val="06BE4945"/>
    <w:rsid w:val="09AD4CDA"/>
    <w:rsid w:val="0EA43F8F"/>
    <w:rsid w:val="11A13D60"/>
    <w:rsid w:val="14D93DE4"/>
    <w:rsid w:val="18070D64"/>
    <w:rsid w:val="1BAD475A"/>
    <w:rsid w:val="25F067DA"/>
    <w:rsid w:val="276E14BD"/>
    <w:rsid w:val="2F835747"/>
    <w:rsid w:val="30007C2E"/>
    <w:rsid w:val="38992266"/>
    <w:rsid w:val="39020F84"/>
    <w:rsid w:val="3ACF12E7"/>
    <w:rsid w:val="3BC2571F"/>
    <w:rsid w:val="3EB079AB"/>
    <w:rsid w:val="40E07A55"/>
    <w:rsid w:val="452C3054"/>
    <w:rsid w:val="48BC5483"/>
    <w:rsid w:val="49A826EA"/>
    <w:rsid w:val="54120FF7"/>
    <w:rsid w:val="54193FCF"/>
    <w:rsid w:val="594C0C2E"/>
    <w:rsid w:val="5B066738"/>
    <w:rsid w:val="63F24D50"/>
    <w:rsid w:val="7DF1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C558E-81DB-4A44-898E-A86747F222BF}">
  <ds:schemaRefs/>
</ds:datastoreItem>
</file>

<file path=customXml/itemProps2.xml><?xml version="1.0" encoding="utf-8"?>
<ds:datastoreItem xmlns:ds="http://schemas.openxmlformats.org/officeDocument/2006/customXml" ds:itemID="{196FDABA-8F43-4333-BBBB-44464A12F73B}">
  <ds:schemaRefs/>
</ds:datastoreItem>
</file>

<file path=customXml/itemProps3.xml><?xml version="1.0" encoding="utf-8"?>
<ds:datastoreItem xmlns:ds="http://schemas.openxmlformats.org/officeDocument/2006/customXml" ds:itemID="{B10EEB01-C7F0-4961-8604-A0E0EE796D8C}">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CB38A5D2-EEE1-4903-A9FA-0D0873364791}">
  <ds:schemaRefs/>
</ds:datastoreItem>
</file>

<file path=customXml/itemProps6.xml><?xml version="1.0" encoding="utf-8"?>
<ds:datastoreItem xmlns:ds="http://schemas.openxmlformats.org/officeDocument/2006/customXml" ds:itemID="{64B9CA65-6448-4680-851E-7EF6A092B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1955</Words>
  <Characters>11145</Characters>
  <Lines>92</Lines>
  <Paragraphs>26</Paragraphs>
  <TotalTime>47</TotalTime>
  <ScaleCrop>false</ScaleCrop>
  <LinksUpToDate>false</LinksUpToDate>
  <CharactersWithSpaces>13074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1</cp:lastModifiedBy>
  <cp:lastPrinted>2411-12-31T15:59:00Z</cp:lastPrinted>
  <dcterms:modified xsi:type="dcterms:W3CDTF">2023-08-07T09:58:32Z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2052-11.8.2.11813</vt:lpwstr>
  </property>
  <property fmtid="{D5CDD505-2E9C-101B-9397-08002B2CF9AE}" pid="33" name="ICV">
    <vt:lpwstr>34081E17694D4C8483DE2404B750C0A0</vt:lpwstr>
  </property>
</Properties>
</file>